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240" w:lineRule="auto"/>
        <w:rPr>
          <w:sz w:val="20"/>
        </w:rPr>
      </w:pPr>
      <w:bookmarkStart w:id="0" w:name="_GoBack"/>
      <w:bookmarkEnd w:id="0"/>
    </w:p>
    <w:p>
      <w:pPr>
        <w:spacing w:before="0" w:line="240" w:lineRule="auto"/>
        <w:rPr>
          <w:sz w:val="20"/>
        </w:rPr>
      </w:pPr>
    </w:p>
    <w:p>
      <w:pPr>
        <w:spacing w:before="0" w:line="240" w:lineRule="auto"/>
        <w:rPr>
          <w:sz w:val="16"/>
        </w:rPr>
      </w:pPr>
    </w:p>
    <w:p>
      <w:pPr>
        <w:spacing w:after="0" w:line="240" w:lineRule="auto"/>
        <w:rPr>
          <w:sz w:val="16"/>
        </w:rPr>
        <w:sectPr>
          <w:type w:val="continuous"/>
          <w:pgSz w:w="16840" w:h="11910" w:orient="landscape"/>
          <w:pgMar w:top="1100" w:right="400" w:bottom="280" w:left="620" w:header="720" w:footer="720" w:gutter="0"/>
        </w:sectPr>
      </w:pPr>
    </w:p>
    <w:p>
      <w:pPr>
        <w:spacing w:before="0" w:line="240" w:lineRule="auto"/>
        <w:rPr>
          <w:sz w:val="20"/>
        </w:rPr>
      </w:pPr>
    </w:p>
    <w:p>
      <w:pPr>
        <w:spacing w:before="0" w:line="240" w:lineRule="auto"/>
        <w:rPr>
          <w:sz w:val="20"/>
        </w:rPr>
      </w:pPr>
    </w:p>
    <w:p>
      <w:pPr>
        <w:spacing w:before="9" w:line="240" w:lineRule="auto"/>
        <w:rPr>
          <w:sz w:val="20"/>
        </w:rPr>
      </w:pPr>
    </w:p>
    <w:p>
      <w:pPr>
        <w:spacing w:before="0"/>
        <w:ind w:left="820" w:right="0" w:firstLine="0"/>
        <w:jc w:val="left"/>
        <w:rPr>
          <w:rFonts w:hint="eastAsia" w:ascii="宋体" w:eastAsia="宋体"/>
          <w:sz w:val="20"/>
        </w:rPr>
      </w:pPr>
      <w:r>
        <w:rPr>
          <w:rFonts w:hint="eastAsia" w:ascii="宋体" w:eastAsia="宋体"/>
          <w:sz w:val="20"/>
        </w:rPr>
        <w:t>电影简介：</w:t>
      </w:r>
    </w:p>
    <w:p>
      <w:pPr>
        <w:spacing w:before="72"/>
        <w:ind w:left="777" w:right="3202" w:firstLine="0"/>
        <w:jc w:val="center"/>
        <w:rPr>
          <w:rFonts w:hint="eastAsia" w:ascii="宋体" w:hAnsi="宋体" w:eastAsia="宋体"/>
          <w:b/>
          <w:sz w:val="21"/>
        </w:rPr>
      </w:pPr>
      <w:r>
        <w:br w:type="column"/>
      </w:r>
      <w:r>
        <w:rPr>
          <w:rFonts w:ascii="Calibri" w:hAnsi="Calibri" w:eastAsia="Calibri"/>
          <w:b/>
          <w:sz w:val="21"/>
        </w:rPr>
        <w:t>2019</w:t>
      </w:r>
      <w:r>
        <w:rPr>
          <w:rFonts w:hint="eastAsia" w:ascii="宋体" w:hAnsi="宋体" w:eastAsia="宋体"/>
          <w:b/>
          <w:sz w:val="21"/>
        </w:rPr>
        <w:t>年同济大学“法语文化周”法语电影展映</w:t>
      </w:r>
    </w:p>
    <w:p>
      <w:pPr>
        <w:pStyle w:val="2"/>
        <w:spacing w:before="20"/>
        <w:ind w:left="777" w:right="3202"/>
        <w:jc w:val="center"/>
      </w:pPr>
      <w:r>
        <w:t>Semaine de la Culture Francophone de l’Université Tongji 2019</w:t>
      </w:r>
      <w:r>
        <w:rPr>
          <w:rFonts w:ascii="宋体" w:hAnsi="宋体"/>
        </w:rPr>
        <w:t>—</w:t>
      </w:r>
      <w:r>
        <w:t>Projection de films francophones</w:t>
      </w:r>
    </w:p>
    <w:p>
      <w:pPr>
        <w:spacing w:after="0"/>
        <w:jc w:val="center"/>
        <w:sectPr>
          <w:type w:val="continuous"/>
          <w:pgSz w:w="16840" w:h="11910" w:orient="landscape"/>
          <w:pgMar w:top="1100" w:right="400" w:bottom="280" w:left="620" w:header="720" w:footer="720" w:gutter="0"/>
          <w:cols w:equalWidth="0" w:num="2">
            <w:col w:w="1859" w:space="349"/>
            <w:col w:w="13612"/>
          </w:cols>
        </w:sectPr>
      </w:pPr>
    </w:p>
    <w:p>
      <w:pPr>
        <w:pStyle w:val="2"/>
        <w:spacing w:before="6"/>
        <w:rPr>
          <w:sz w:val="2"/>
        </w:rPr>
      </w:pPr>
    </w:p>
    <w:tbl>
      <w:tblPr>
        <w:tblStyle w:val="3"/>
        <w:tblW w:w="1559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2"/>
        <w:gridCol w:w="1133"/>
        <w:gridCol w:w="10728"/>
        <w:gridCol w:w="20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702" w:type="dxa"/>
          </w:tcPr>
          <w:p>
            <w:pPr>
              <w:pStyle w:val="7"/>
              <w:rPr>
                <w:sz w:val="18"/>
              </w:rPr>
            </w:pPr>
            <w:r>
              <w:rPr>
                <w:rFonts w:hint="eastAsia" w:ascii="宋体" w:eastAsia="宋体"/>
                <w:sz w:val="18"/>
              </w:rPr>
              <w:t xml:space="preserve">电影名 </w:t>
            </w:r>
            <w:r>
              <w:rPr>
                <w:sz w:val="18"/>
              </w:rPr>
              <w:t>Films</w:t>
            </w:r>
          </w:p>
        </w:tc>
        <w:tc>
          <w:tcPr>
            <w:tcW w:w="1133" w:type="dxa"/>
          </w:tcPr>
          <w:p>
            <w:pPr>
              <w:pStyle w:val="7"/>
              <w:rPr>
                <w:sz w:val="18"/>
              </w:rPr>
            </w:pPr>
            <w:r>
              <w:rPr>
                <w:rFonts w:hint="eastAsia" w:ascii="宋体" w:eastAsia="宋体"/>
                <w:sz w:val="18"/>
              </w:rPr>
              <w:t xml:space="preserve">国家 </w:t>
            </w:r>
            <w:r>
              <w:rPr>
                <w:sz w:val="18"/>
              </w:rPr>
              <w:t>Pays</w:t>
            </w:r>
          </w:p>
        </w:tc>
        <w:tc>
          <w:tcPr>
            <w:tcW w:w="10728" w:type="dxa"/>
          </w:tcPr>
          <w:p>
            <w:pPr>
              <w:pStyle w:val="7"/>
              <w:rPr>
                <w:sz w:val="18"/>
              </w:rPr>
            </w:pPr>
            <w:r>
              <w:rPr>
                <w:rFonts w:hint="eastAsia" w:ascii="宋体" w:eastAsia="宋体"/>
                <w:sz w:val="18"/>
              </w:rPr>
              <w:t xml:space="preserve">剧情简介 </w:t>
            </w:r>
            <w:r>
              <w:rPr>
                <w:sz w:val="18"/>
              </w:rPr>
              <w:t>Synopsis</w:t>
            </w:r>
          </w:p>
        </w:tc>
        <w:tc>
          <w:tcPr>
            <w:tcW w:w="2030" w:type="dxa"/>
          </w:tcPr>
          <w:p>
            <w:pPr>
              <w:pStyle w:val="7"/>
              <w:spacing w:before="22"/>
              <w:rPr>
                <w:rFonts w:hint="eastAsia" w:ascii="宋体" w:eastAsia="宋体"/>
                <w:sz w:val="21"/>
              </w:rPr>
            </w:pPr>
            <w:r>
              <w:rPr>
                <w:rFonts w:hint="eastAsia" w:ascii="宋体" w:eastAsia="宋体"/>
                <w:sz w:val="21"/>
              </w:rPr>
              <w:t>电影海报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83" w:hRule="atLeast"/>
        </w:trPr>
        <w:tc>
          <w:tcPr>
            <w:tcW w:w="1702" w:type="dxa"/>
          </w:tcPr>
          <w:p>
            <w:pPr>
              <w:pStyle w:val="7"/>
              <w:spacing w:line="350" w:lineRule="auto"/>
              <w:ind w:right="175"/>
              <w:rPr>
                <w:sz w:val="18"/>
              </w:rPr>
            </w:pPr>
            <w:r>
              <w:rPr>
                <w:rFonts w:hint="eastAsia" w:ascii="宋体" w:hAnsi="宋体" w:eastAsia="宋体"/>
                <w:sz w:val="18"/>
              </w:rPr>
              <w:t xml:space="preserve">明 嘉 和 碎 勺 </w:t>
            </w:r>
            <w:r>
              <w:rPr>
                <w:sz w:val="18"/>
              </w:rPr>
              <w:t>Minga et la cuillère cassée</w:t>
            </w:r>
          </w:p>
        </w:tc>
        <w:tc>
          <w:tcPr>
            <w:tcW w:w="1133" w:type="dxa"/>
          </w:tcPr>
          <w:p>
            <w:pPr>
              <w:pStyle w:val="7"/>
              <w:rPr>
                <w:rFonts w:hint="eastAsia" w:ascii="宋体" w:eastAsia="宋体"/>
                <w:sz w:val="18"/>
              </w:rPr>
            </w:pPr>
            <w:r>
              <w:rPr>
                <w:rFonts w:hint="eastAsia" w:ascii="宋体" w:eastAsia="宋体"/>
                <w:sz w:val="18"/>
              </w:rPr>
              <w:t>喀麦隆</w:t>
            </w:r>
          </w:p>
          <w:p>
            <w:pPr>
              <w:pStyle w:val="7"/>
              <w:spacing w:before="93"/>
              <w:rPr>
                <w:sz w:val="18"/>
              </w:rPr>
            </w:pPr>
            <w:r>
              <w:rPr>
                <w:sz w:val="18"/>
              </w:rPr>
              <w:t>Cameroun</w:t>
            </w:r>
          </w:p>
        </w:tc>
        <w:tc>
          <w:tcPr>
            <w:tcW w:w="10728" w:type="dxa"/>
          </w:tcPr>
          <w:p>
            <w:pPr>
              <w:pStyle w:val="7"/>
              <w:spacing w:line="324" w:lineRule="auto"/>
              <w:ind w:right="168"/>
              <w:rPr>
                <w:rFonts w:hint="eastAsia" w:ascii="宋体" w:eastAsia="宋体"/>
                <w:sz w:val="18"/>
              </w:rPr>
            </w:pPr>
            <w:r>
              <w:rPr>
                <w:rFonts w:hint="eastAsia" w:ascii="宋体" w:eastAsia="宋体"/>
                <w:sz w:val="18"/>
              </w:rPr>
              <w:t>年幼的孤儿明嘉和她的继母卡巴住在一起。卡巴脾气暴躁，让明嘉吃尽了苦头，还因为明嘉洗碗时打坏了一只勺子把她赶出了家门。于是明嘉就开始了一段真正的大冒险，这一路上，友情、疑惑和许多惊喜等待着她！</w:t>
            </w:r>
          </w:p>
          <w:p>
            <w:pPr>
              <w:pStyle w:val="7"/>
              <w:spacing w:before="13" w:line="362" w:lineRule="auto"/>
              <w:ind w:right="245"/>
              <w:rPr>
                <w:sz w:val="18"/>
              </w:rPr>
            </w:pPr>
            <w:r>
              <w:rPr>
                <w:sz w:val="18"/>
              </w:rPr>
              <w:t>Minga, jeune orpheline, vit chez sa maratre Mami Kaba. Cette dernière, femme acariatre qui n’hésite pas à mener la vie dure à la petite Minga, mettra la petite orpheline hors de chez elle pour une cuillère cassée pendant la vaisselle quotidienne. Débute alors pour notre petite héroïne, une véritable aventure ponctuée de mélodies, d’amitiés, de doutes, d’aventures, et de plein d’autres surprises !</w:t>
            </w:r>
          </w:p>
        </w:tc>
        <w:tc>
          <w:tcPr>
            <w:tcW w:w="2030" w:type="dxa"/>
          </w:tcPr>
          <w:p>
            <w:pPr>
              <w:pStyle w:val="7"/>
              <w:spacing w:before="4"/>
              <w:ind w:left="0"/>
              <w:rPr>
                <w:rFonts w:ascii="Calibri"/>
                <w:sz w:val="4"/>
              </w:rPr>
            </w:pPr>
          </w:p>
          <w:p>
            <w:pPr>
              <w:pStyle w:val="7"/>
              <w:spacing w:before="0"/>
              <w:ind w:left="136"/>
              <w:rPr>
                <w:rFonts w:ascii="Calibri"/>
                <w:sz w:val="20"/>
              </w:rPr>
            </w:pPr>
            <w:r>
              <w:rPr>
                <w:rFonts w:ascii="Calibri"/>
                <w:sz w:val="20"/>
              </w:rPr>
              <w:drawing>
                <wp:inline distT="0" distB="0" distL="0" distR="0">
                  <wp:extent cx="988695" cy="13227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0" y="0"/>
                            <a:ext cx="989137" cy="1322832"/>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83" w:hRule="atLeast"/>
        </w:trPr>
        <w:tc>
          <w:tcPr>
            <w:tcW w:w="1702" w:type="dxa"/>
          </w:tcPr>
          <w:p>
            <w:pPr>
              <w:pStyle w:val="7"/>
              <w:rPr>
                <w:rFonts w:hint="eastAsia" w:ascii="宋体" w:eastAsia="宋体"/>
                <w:sz w:val="18"/>
              </w:rPr>
            </w:pPr>
            <w:r>
              <w:rPr>
                <w:rFonts w:hint="eastAsia" w:ascii="宋体" w:eastAsia="宋体"/>
                <w:sz w:val="18"/>
              </w:rPr>
              <w:t>阿达玛</w:t>
            </w:r>
          </w:p>
          <w:p>
            <w:pPr>
              <w:pStyle w:val="7"/>
              <w:spacing w:before="93"/>
              <w:rPr>
                <w:sz w:val="18"/>
              </w:rPr>
            </w:pPr>
            <w:r>
              <w:rPr>
                <w:sz w:val="18"/>
              </w:rPr>
              <w:t>Adama</w:t>
            </w:r>
          </w:p>
        </w:tc>
        <w:tc>
          <w:tcPr>
            <w:tcW w:w="1133" w:type="dxa"/>
          </w:tcPr>
          <w:p>
            <w:pPr>
              <w:pStyle w:val="7"/>
              <w:rPr>
                <w:rFonts w:hint="eastAsia" w:ascii="宋体" w:eastAsia="宋体"/>
                <w:sz w:val="18"/>
              </w:rPr>
            </w:pPr>
            <w:r>
              <w:rPr>
                <w:rFonts w:hint="eastAsia" w:ascii="宋体" w:eastAsia="宋体"/>
                <w:sz w:val="18"/>
              </w:rPr>
              <w:t>法国</w:t>
            </w:r>
          </w:p>
          <w:p>
            <w:pPr>
              <w:pStyle w:val="7"/>
              <w:spacing w:before="93"/>
              <w:rPr>
                <w:sz w:val="18"/>
              </w:rPr>
            </w:pPr>
            <w:r>
              <w:rPr>
                <w:sz w:val="18"/>
              </w:rPr>
              <w:t>France</w:t>
            </w:r>
          </w:p>
        </w:tc>
        <w:tc>
          <w:tcPr>
            <w:tcW w:w="10728" w:type="dxa"/>
          </w:tcPr>
          <w:p>
            <w:pPr>
              <w:pStyle w:val="7"/>
              <w:spacing w:line="324" w:lineRule="auto"/>
              <w:ind w:right="168"/>
              <w:jc w:val="both"/>
              <w:rPr>
                <w:rFonts w:hint="eastAsia" w:ascii="宋体" w:hAnsi="宋体" w:eastAsia="宋体"/>
                <w:sz w:val="18"/>
              </w:rPr>
            </w:pPr>
            <w:r>
              <w:rPr>
                <w:sz w:val="18"/>
              </w:rPr>
              <w:t>12</w:t>
            </w:r>
            <w:r>
              <w:rPr>
                <w:rFonts w:hint="eastAsia" w:ascii="宋体" w:hAnsi="宋体" w:eastAsia="宋体"/>
                <w:sz w:val="18"/>
              </w:rPr>
              <w:t>岁的阿达玛生活在西非海岸线边上一个偏僻的村庄里。在悬崖之外，海的另一端，是战争不断的拿萨地区。一天晚上，阿达玛的哥哥神秘失踪。心切的阿达玛冲破了祖祖辈辈的禁令，坚定地踏上寻找哥哥的路途。阿玛达来到了第一次世界大战的前线，这一路上， 稚嫩的他已成长为大人</w:t>
            </w:r>
            <w:r>
              <w:rPr>
                <w:sz w:val="18"/>
              </w:rPr>
              <w:t>…</w:t>
            </w:r>
            <w:r>
              <w:rPr>
                <w:rFonts w:hint="eastAsia" w:ascii="宋体" w:hAnsi="宋体" w:eastAsia="宋体"/>
                <w:sz w:val="18"/>
              </w:rPr>
              <w:t>这一切发生在</w:t>
            </w:r>
            <w:r>
              <w:rPr>
                <w:sz w:val="18"/>
              </w:rPr>
              <w:t>1916</w:t>
            </w:r>
            <w:r>
              <w:rPr>
                <w:rFonts w:hint="eastAsia" w:ascii="宋体" w:hAnsi="宋体" w:eastAsia="宋体"/>
                <w:sz w:val="18"/>
              </w:rPr>
              <w:t>年。</w:t>
            </w:r>
          </w:p>
          <w:p>
            <w:pPr>
              <w:pStyle w:val="7"/>
              <w:spacing w:before="14" w:line="362" w:lineRule="auto"/>
              <w:ind w:left="106" w:right="173"/>
              <w:rPr>
                <w:sz w:val="18"/>
              </w:rPr>
            </w:pPr>
            <w:r>
              <w:rPr>
                <w:sz w:val="18"/>
              </w:rPr>
              <w:t>Adama, 12 ans, vit dans un village isolé d’Afrique de l’Ouest. Au-delà des falaises, s’étend le Monde des Souffles. Là où règnent les Nassaras. Une nuit, Samba, son frère aîné, disparaît. Adama, bravant l'interdit des anciens, décide de partir à sa recherche. Il entame, avec la détermination sans faille d’un enfant devenant homme, une quête qui va le mener au-delà des mers, au Nord, jusqu’aux lignes de front de la première guerre</w:t>
            </w:r>
          </w:p>
          <w:p>
            <w:pPr>
              <w:pStyle w:val="7"/>
              <w:spacing w:before="0" w:line="205" w:lineRule="exact"/>
              <w:ind w:left="106"/>
              <w:rPr>
                <w:sz w:val="18"/>
              </w:rPr>
            </w:pPr>
            <w:r>
              <w:rPr>
                <w:sz w:val="18"/>
              </w:rPr>
              <w:t>mondiale. Nous sommes en 1916.</w:t>
            </w:r>
          </w:p>
        </w:tc>
        <w:tc>
          <w:tcPr>
            <w:tcW w:w="2030" w:type="dxa"/>
          </w:tcPr>
          <w:p>
            <w:pPr>
              <w:pStyle w:val="7"/>
              <w:spacing w:before="1"/>
              <w:ind w:left="0"/>
              <w:rPr>
                <w:rFonts w:ascii="Calibri"/>
                <w:sz w:val="5"/>
              </w:rPr>
            </w:pPr>
          </w:p>
          <w:p>
            <w:pPr>
              <w:pStyle w:val="7"/>
              <w:spacing w:before="0"/>
              <w:ind w:left="137"/>
              <w:rPr>
                <w:rFonts w:ascii="Calibri"/>
                <w:sz w:val="20"/>
              </w:rPr>
            </w:pPr>
            <w:r>
              <w:rPr>
                <w:rFonts w:ascii="Calibri"/>
                <w:sz w:val="20"/>
              </w:rPr>
              <w:drawing>
                <wp:inline distT="0" distB="0" distL="0" distR="0">
                  <wp:extent cx="995045" cy="131635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5" cstate="print"/>
                          <a:stretch>
                            <a:fillRect/>
                          </a:stretch>
                        </pic:blipFill>
                        <pic:spPr>
                          <a:xfrm>
                            <a:off x="0" y="0"/>
                            <a:ext cx="995129" cy="1316736"/>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8" w:hRule="atLeast"/>
        </w:trPr>
        <w:tc>
          <w:tcPr>
            <w:tcW w:w="1702" w:type="dxa"/>
          </w:tcPr>
          <w:p>
            <w:pPr>
              <w:pStyle w:val="7"/>
              <w:spacing w:before="40" w:line="324" w:lineRule="auto"/>
              <w:ind w:right="142"/>
              <w:rPr>
                <w:rFonts w:hint="eastAsia" w:ascii="宋体" w:eastAsia="宋体"/>
                <w:sz w:val="18"/>
              </w:rPr>
            </w:pPr>
            <w:r>
              <w:rPr>
                <w:rFonts w:hint="eastAsia" w:ascii="宋体" w:eastAsia="宋体"/>
                <w:sz w:val="18"/>
              </w:rPr>
              <w:t>让﹒托莱，永远的冒险家</w:t>
            </w:r>
          </w:p>
          <w:p>
            <w:pPr>
              <w:pStyle w:val="7"/>
              <w:spacing w:before="13" w:line="362" w:lineRule="auto"/>
              <w:ind w:right="90"/>
              <w:rPr>
                <w:sz w:val="18"/>
              </w:rPr>
            </w:pPr>
            <w:r>
              <w:rPr>
                <w:sz w:val="18"/>
              </w:rPr>
              <w:t>Jean Troille, Toujours Aventurier</w:t>
            </w:r>
          </w:p>
        </w:tc>
        <w:tc>
          <w:tcPr>
            <w:tcW w:w="1133" w:type="dxa"/>
          </w:tcPr>
          <w:p>
            <w:pPr>
              <w:pStyle w:val="7"/>
              <w:spacing w:before="40"/>
              <w:rPr>
                <w:rFonts w:hint="eastAsia" w:ascii="宋体" w:eastAsia="宋体"/>
                <w:sz w:val="18"/>
              </w:rPr>
            </w:pPr>
            <w:r>
              <w:rPr>
                <w:rFonts w:hint="eastAsia" w:ascii="宋体" w:eastAsia="宋体"/>
                <w:sz w:val="18"/>
              </w:rPr>
              <w:t>瑞士</w:t>
            </w:r>
          </w:p>
          <w:p>
            <w:pPr>
              <w:pStyle w:val="7"/>
              <w:spacing w:before="93"/>
              <w:rPr>
                <w:sz w:val="18"/>
              </w:rPr>
            </w:pPr>
            <w:r>
              <w:rPr>
                <w:sz w:val="18"/>
              </w:rPr>
              <w:t>Suisse</w:t>
            </w:r>
          </w:p>
        </w:tc>
        <w:tc>
          <w:tcPr>
            <w:tcW w:w="10728" w:type="dxa"/>
          </w:tcPr>
          <w:p>
            <w:pPr>
              <w:pStyle w:val="7"/>
              <w:spacing w:before="40" w:line="324" w:lineRule="auto"/>
              <w:ind w:right="47"/>
              <w:rPr>
                <w:rFonts w:hint="eastAsia" w:ascii="宋体" w:hAnsi="宋体" w:eastAsia="宋体"/>
                <w:sz w:val="18"/>
              </w:rPr>
            </w:pPr>
            <w:r>
              <w:rPr>
                <w:rFonts w:hint="eastAsia" w:ascii="宋体" w:hAnsi="宋体" w:eastAsia="宋体"/>
                <w:sz w:val="18"/>
              </w:rPr>
              <w:t>在瑞士瓦莱州境内的多朗山上，海拔约</w:t>
            </w:r>
            <w:r>
              <w:rPr>
                <w:sz w:val="18"/>
              </w:rPr>
              <w:t>3040</w:t>
            </w:r>
            <w:r>
              <w:rPr>
                <w:rFonts w:hint="eastAsia" w:ascii="宋体" w:hAnsi="宋体" w:eastAsia="宋体"/>
                <w:sz w:val="18"/>
              </w:rPr>
              <w:t>米处有一个露营地，很多冒险家、登山爱好者们曾抵达过这里。这部纪录片正拍摄于此。受好友、纪录片导演</w:t>
            </w:r>
            <w:r>
              <w:rPr>
                <w:sz w:val="18"/>
              </w:rPr>
              <w:t>Sébastien Devrient</w:t>
            </w:r>
            <w:r>
              <w:rPr>
                <w:rFonts w:hint="eastAsia" w:ascii="宋体" w:hAnsi="宋体" w:eastAsia="宋体"/>
                <w:sz w:val="18"/>
              </w:rPr>
              <w:t>邀请，瑞士著名冒险家</w:t>
            </w:r>
            <w:r>
              <w:rPr>
                <w:sz w:val="18"/>
              </w:rPr>
              <w:t>Jean Troillet</w:t>
            </w:r>
            <w:r>
              <w:rPr>
                <w:rFonts w:hint="eastAsia" w:ascii="宋体" w:hAnsi="宋体" w:eastAsia="宋体"/>
                <w:sz w:val="18"/>
              </w:rPr>
              <w:t>重新回到这个营地，住帐篷，煮奶酪火锅，回顾当年探险的感受，并分享他职业生涯的重要时刻。</w:t>
            </w:r>
          </w:p>
          <w:p>
            <w:pPr>
              <w:pStyle w:val="7"/>
              <w:spacing w:before="14" w:line="362" w:lineRule="auto"/>
              <w:ind w:right="264"/>
              <w:rPr>
                <w:sz w:val="18"/>
              </w:rPr>
            </w:pPr>
            <w:r>
              <w:rPr>
                <w:sz w:val="18"/>
              </w:rPr>
              <w:t>Sur les flancs du Mont Dolent en Valais, à 3040 mètres d’altitude, un petit bivouac est le théâtre de grandes rencontres. Pendant 10 jours, sous tente, dans des conditions de vie similaires à celles de ses expéditions, le célèbre aventurier et himalayiste Jean Troillet est invité par son ami le réalisateur Sébastien Devrient à revisiter les moments forts de sa vie.</w:t>
            </w:r>
          </w:p>
        </w:tc>
        <w:tc>
          <w:tcPr>
            <w:tcW w:w="2030" w:type="dxa"/>
          </w:tcPr>
          <w:p>
            <w:pPr>
              <w:pStyle w:val="7"/>
              <w:spacing w:before="9"/>
              <w:ind w:left="0"/>
              <w:rPr>
                <w:rFonts w:ascii="Calibri"/>
                <w:sz w:val="10"/>
              </w:rPr>
            </w:pPr>
          </w:p>
          <w:p>
            <w:pPr>
              <w:pStyle w:val="7"/>
              <w:spacing w:before="0"/>
              <w:ind w:left="140"/>
              <w:rPr>
                <w:rFonts w:ascii="Calibri"/>
                <w:sz w:val="20"/>
              </w:rPr>
            </w:pPr>
            <w:r>
              <w:rPr>
                <w:rFonts w:ascii="Calibri"/>
                <w:sz w:val="20"/>
              </w:rPr>
              <w:drawing>
                <wp:inline distT="0" distB="0" distL="0" distR="0">
                  <wp:extent cx="987425" cy="1437005"/>
                  <wp:effectExtent l="0" t="0" r="0" b="0"/>
                  <wp:docPr id="5" name="image3.jpeg" descr="K:\李泽君工作文件\各类活动组织\2019\法语电影周放映\Poster+Ch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K:\李泽君工作文件\各类活动组织\2019\法语电影周放映\Poster+China.jpg"/>
                          <pic:cNvPicPr>
                            <a:picLocks noChangeAspect="1"/>
                          </pic:cNvPicPr>
                        </pic:nvPicPr>
                        <pic:blipFill>
                          <a:blip r:embed="rId6" cstate="print"/>
                          <a:stretch>
                            <a:fillRect/>
                          </a:stretch>
                        </pic:blipFill>
                        <pic:spPr>
                          <a:xfrm>
                            <a:off x="0" y="0"/>
                            <a:ext cx="987498" cy="1437513"/>
                          </a:xfrm>
                          <a:prstGeom prst="rect">
                            <a:avLst/>
                          </a:prstGeom>
                        </pic:spPr>
                      </pic:pic>
                    </a:graphicData>
                  </a:graphic>
                </wp:inline>
              </w:drawing>
            </w:r>
          </w:p>
        </w:tc>
      </w:tr>
    </w:tbl>
    <w:p>
      <w:pPr>
        <w:spacing w:after="0"/>
        <w:rPr>
          <w:rFonts w:ascii="Calibri"/>
          <w:sz w:val="20"/>
        </w:rPr>
        <w:sectPr>
          <w:type w:val="continuous"/>
          <w:pgSz w:w="16840" w:h="11910" w:orient="landscape"/>
          <w:pgMar w:top="1100" w:right="400" w:bottom="280" w:left="620" w:header="720" w:footer="720" w:gutter="0"/>
        </w:sectPr>
      </w:pPr>
    </w:p>
    <w:p>
      <w:pPr>
        <w:spacing w:before="0" w:line="240" w:lineRule="auto"/>
        <w:rPr>
          <w:sz w:val="20"/>
        </w:rPr>
      </w:pPr>
    </w:p>
    <w:p>
      <w:pPr>
        <w:spacing w:before="0" w:line="240" w:lineRule="auto"/>
        <w:rPr>
          <w:sz w:val="20"/>
        </w:rPr>
      </w:pPr>
    </w:p>
    <w:p>
      <w:pPr>
        <w:spacing w:before="3" w:after="1" w:line="240" w:lineRule="auto"/>
        <w:rPr>
          <w:sz w:val="20"/>
        </w:rPr>
      </w:pPr>
    </w:p>
    <w:tbl>
      <w:tblPr>
        <w:tblStyle w:val="3"/>
        <w:tblW w:w="1559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2"/>
        <w:gridCol w:w="1133"/>
        <w:gridCol w:w="10728"/>
        <w:gridCol w:w="20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5" w:hRule="atLeast"/>
        </w:trPr>
        <w:tc>
          <w:tcPr>
            <w:tcW w:w="1702" w:type="dxa"/>
          </w:tcPr>
          <w:p>
            <w:pPr>
              <w:pStyle w:val="7"/>
              <w:rPr>
                <w:rFonts w:hint="eastAsia" w:ascii="宋体" w:eastAsia="宋体"/>
                <w:sz w:val="18"/>
              </w:rPr>
            </w:pPr>
            <w:r>
              <w:rPr>
                <w:rFonts w:hint="eastAsia" w:ascii="宋体" w:eastAsia="宋体"/>
                <w:sz w:val="18"/>
              </w:rPr>
              <w:t>病患人生</w:t>
            </w:r>
          </w:p>
          <w:p>
            <w:pPr>
              <w:pStyle w:val="7"/>
              <w:spacing w:before="93"/>
              <w:rPr>
                <w:sz w:val="18"/>
              </w:rPr>
            </w:pPr>
            <w:r>
              <w:rPr>
                <w:sz w:val="18"/>
              </w:rPr>
              <w:t>Patients</w:t>
            </w:r>
          </w:p>
        </w:tc>
        <w:tc>
          <w:tcPr>
            <w:tcW w:w="1133" w:type="dxa"/>
          </w:tcPr>
          <w:p>
            <w:pPr>
              <w:pStyle w:val="7"/>
              <w:rPr>
                <w:rFonts w:hint="eastAsia" w:ascii="宋体" w:eastAsia="宋体"/>
                <w:sz w:val="18"/>
              </w:rPr>
            </w:pPr>
            <w:r>
              <w:rPr>
                <w:rFonts w:hint="eastAsia" w:ascii="宋体" w:eastAsia="宋体"/>
                <w:sz w:val="18"/>
              </w:rPr>
              <w:t>法国</w:t>
            </w:r>
          </w:p>
          <w:p>
            <w:pPr>
              <w:pStyle w:val="7"/>
              <w:spacing w:before="93"/>
              <w:rPr>
                <w:sz w:val="18"/>
              </w:rPr>
            </w:pPr>
            <w:r>
              <w:rPr>
                <w:sz w:val="18"/>
              </w:rPr>
              <w:t>France</w:t>
            </w:r>
          </w:p>
        </w:tc>
        <w:tc>
          <w:tcPr>
            <w:tcW w:w="10728" w:type="dxa"/>
          </w:tcPr>
          <w:p>
            <w:pPr>
              <w:pStyle w:val="7"/>
              <w:spacing w:line="324" w:lineRule="auto"/>
              <w:ind w:right="7"/>
              <w:rPr>
                <w:sz w:val="18"/>
              </w:rPr>
            </w:pPr>
            <w:r>
              <w:rPr>
                <w:rFonts w:hint="eastAsia" w:ascii="宋体" w:hAnsi="宋体" w:eastAsia="宋体"/>
                <w:sz w:val="18"/>
              </w:rPr>
              <w:t>本在一次严重的交通事故之后住进了康复中心，可是他已经不能正常地照顾自己的起居了，连他最心爱的运动</w:t>
            </w:r>
            <w:r>
              <w:rPr>
                <w:sz w:val="18"/>
              </w:rPr>
              <w:t>-</w:t>
            </w:r>
            <w:r>
              <w:rPr>
                <w:rFonts w:hint="eastAsia" w:ascii="宋体" w:hAnsi="宋体" w:eastAsia="宋体"/>
                <w:sz w:val="18"/>
              </w:rPr>
              <w:t>篮球，他也只能放弃。</w:t>
            </w:r>
            <w:r>
              <w:rPr>
                <w:rFonts w:hint="eastAsia" w:ascii="宋体" w:hAnsi="宋体" w:eastAsia="宋体"/>
                <w:spacing w:val="-2"/>
                <w:sz w:val="18"/>
              </w:rPr>
              <w:t>他的新朋友是松鸡，寄生虫，颅骨创伤</w:t>
            </w:r>
            <w:r>
              <w:rPr>
                <w:sz w:val="18"/>
              </w:rPr>
              <w:t>……</w:t>
            </w:r>
            <w:r>
              <w:rPr>
                <w:rFonts w:hint="eastAsia" w:ascii="宋体" w:hAnsi="宋体" w:eastAsia="宋体"/>
                <w:spacing w:val="-4"/>
                <w:sz w:val="18"/>
              </w:rPr>
              <w:t>这些遭遇过人身意外的人们，聚集在一起，来学习耐心，一起反抗命运的安排、相互拌嘴、</w:t>
            </w:r>
            <w:r>
              <w:rPr>
                <w:rFonts w:hint="eastAsia" w:ascii="宋体" w:hAnsi="宋体" w:eastAsia="宋体"/>
                <w:sz w:val="18"/>
              </w:rPr>
              <w:t>相互吸引，就是为了找到力量，继续活下去。这个影片讲述的是一个重新学习生存的故事，一段高低起伏的、掺杂着欢笑和眼泪的人生旅途。治愈，重生，我们从来不是一个人在前行</w:t>
            </w:r>
            <w:r>
              <w:rPr>
                <w:sz w:val="18"/>
              </w:rPr>
              <w:t>…</w:t>
            </w:r>
          </w:p>
          <w:p>
            <w:pPr>
              <w:pStyle w:val="7"/>
              <w:tabs>
                <w:tab w:val="left" w:leader="dot" w:pos="4954"/>
              </w:tabs>
              <w:spacing w:before="14" w:line="362" w:lineRule="auto"/>
              <w:ind w:right="175"/>
              <w:rPr>
                <w:sz w:val="18"/>
              </w:rPr>
            </w:pPr>
            <w:r>
              <w:rPr>
                <w:sz w:val="18"/>
              </w:rPr>
              <w:t>Se laver, s'habiller, marcher, jouer au basket, voici ce que Ben ne peut plus faire à son arrivée dans un centre de rééducation suite à un grave accident. Ses nouveaux amis sont tétras, paras,</w:t>
            </w:r>
            <w:r>
              <w:rPr>
                <w:spacing w:val="-13"/>
                <w:sz w:val="18"/>
              </w:rPr>
              <w:t xml:space="preserve"> </w:t>
            </w:r>
            <w:r>
              <w:rPr>
                <w:sz w:val="18"/>
              </w:rPr>
              <w:t>traumas</w:t>
            </w:r>
            <w:r>
              <w:rPr>
                <w:spacing w:val="-2"/>
                <w:sz w:val="18"/>
              </w:rPr>
              <w:t xml:space="preserve"> </w:t>
            </w:r>
            <w:r>
              <w:rPr>
                <w:sz w:val="18"/>
              </w:rPr>
              <w:t>crâniens</w:t>
            </w:r>
            <w:r>
              <w:rPr>
                <w:sz w:val="18"/>
              </w:rPr>
              <w:tab/>
            </w:r>
            <w:r>
              <w:rPr>
                <w:sz w:val="18"/>
              </w:rPr>
              <w:t>Bref, toute la crème du handicap. Ensemble ils vont apprendre la patience.</w:t>
            </w:r>
            <w:r>
              <w:rPr>
                <w:spacing w:val="-21"/>
                <w:sz w:val="18"/>
              </w:rPr>
              <w:t xml:space="preserve"> </w:t>
            </w:r>
            <w:r>
              <w:rPr>
                <w:sz w:val="18"/>
              </w:rPr>
              <w:t>Ils</w:t>
            </w:r>
          </w:p>
          <w:p>
            <w:pPr>
              <w:pStyle w:val="7"/>
              <w:spacing w:before="0" w:line="206" w:lineRule="exact"/>
              <w:rPr>
                <w:sz w:val="18"/>
              </w:rPr>
            </w:pPr>
            <w:r>
              <w:rPr>
                <w:sz w:val="18"/>
              </w:rPr>
              <w:t>vont résister, se vanner, s'engueuler, se séduire mais surtout trouver l'énergie pour réapprendre à vivre. Patients est l'histoire d'une renaissance,</w:t>
            </w:r>
          </w:p>
          <w:p>
            <w:pPr>
              <w:pStyle w:val="7"/>
              <w:spacing w:before="105"/>
              <w:rPr>
                <w:sz w:val="18"/>
              </w:rPr>
            </w:pPr>
            <w:r>
              <w:rPr>
                <w:sz w:val="18"/>
              </w:rPr>
              <w:t>d'un voyage chaotique fait de victoires et de défaites, de larmes et d'éclats de rire, mais surtout de rencontres : on ne guérit pas seul.</w:t>
            </w:r>
          </w:p>
        </w:tc>
        <w:tc>
          <w:tcPr>
            <w:tcW w:w="2030" w:type="dxa"/>
          </w:tcPr>
          <w:p>
            <w:pPr>
              <w:pStyle w:val="7"/>
              <w:spacing w:before="2"/>
              <w:ind w:left="0"/>
              <w:rPr>
                <w:sz w:val="6"/>
              </w:rPr>
            </w:pPr>
          </w:p>
          <w:p>
            <w:pPr>
              <w:pStyle w:val="7"/>
              <w:spacing w:before="0"/>
              <w:ind w:left="137"/>
              <w:rPr>
                <w:sz w:val="20"/>
              </w:rPr>
            </w:pPr>
            <w:r>
              <w:rPr>
                <w:sz w:val="20"/>
              </w:rPr>
              <w:drawing>
                <wp:inline distT="0" distB="0" distL="0" distR="0">
                  <wp:extent cx="1110615" cy="148209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7" cstate="print"/>
                          <a:stretch>
                            <a:fillRect/>
                          </a:stretch>
                        </pic:blipFill>
                        <pic:spPr>
                          <a:xfrm>
                            <a:off x="0" y="0"/>
                            <a:ext cx="1111030" cy="1482661"/>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5" w:hRule="atLeast"/>
        </w:trPr>
        <w:tc>
          <w:tcPr>
            <w:tcW w:w="1702" w:type="dxa"/>
          </w:tcPr>
          <w:p>
            <w:pPr>
              <w:pStyle w:val="7"/>
              <w:rPr>
                <w:rFonts w:hint="eastAsia" w:ascii="宋体" w:eastAsia="宋体"/>
                <w:sz w:val="18"/>
              </w:rPr>
            </w:pPr>
            <w:r>
              <w:rPr>
                <w:rFonts w:hint="eastAsia" w:ascii="宋体" w:eastAsia="宋体"/>
                <w:sz w:val="18"/>
              </w:rPr>
              <w:t>风从北方来</w:t>
            </w:r>
          </w:p>
          <w:p>
            <w:pPr>
              <w:pStyle w:val="7"/>
              <w:spacing w:before="93"/>
              <w:rPr>
                <w:sz w:val="18"/>
              </w:rPr>
            </w:pPr>
            <w:r>
              <w:rPr>
                <w:sz w:val="18"/>
              </w:rPr>
              <w:t>Vent du</w:t>
            </w:r>
            <w:r>
              <w:rPr>
                <w:spacing w:val="-3"/>
                <w:sz w:val="18"/>
              </w:rPr>
              <w:t xml:space="preserve"> </w:t>
            </w:r>
            <w:r>
              <w:rPr>
                <w:sz w:val="18"/>
              </w:rPr>
              <w:t>nord</w:t>
            </w:r>
          </w:p>
        </w:tc>
        <w:tc>
          <w:tcPr>
            <w:tcW w:w="1133" w:type="dxa"/>
          </w:tcPr>
          <w:p>
            <w:pPr>
              <w:pStyle w:val="7"/>
              <w:spacing w:line="345" w:lineRule="auto"/>
              <w:ind w:right="113"/>
              <w:rPr>
                <w:sz w:val="18"/>
              </w:rPr>
            </w:pPr>
            <w:r>
              <w:rPr>
                <w:rFonts w:hint="eastAsia" w:ascii="宋体" w:eastAsia="宋体"/>
                <w:sz w:val="18"/>
              </w:rPr>
              <w:t>突尼斯、法国、比利时</w:t>
            </w:r>
            <w:r>
              <w:rPr>
                <w:sz w:val="18"/>
              </w:rPr>
              <w:t>Tunisie, France, Belgique</w:t>
            </w:r>
          </w:p>
        </w:tc>
        <w:tc>
          <w:tcPr>
            <w:tcW w:w="10728" w:type="dxa"/>
          </w:tcPr>
          <w:p>
            <w:pPr>
              <w:pStyle w:val="7"/>
              <w:spacing w:line="324" w:lineRule="auto"/>
              <w:ind w:right="168"/>
              <w:jc w:val="both"/>
              <w:rPr>
                <w:sz w:val="18"/>
              </w:rPr>
            </w:pPr>
            <w:r>
              <w:rPr>
                <w:rFonts w:hint="eastAsia" w:ascii="宋体" w:hAnsi="宋体" w:eastAsia="宋体"/>
                <w:sz w:val="18"/>
              </w:rPr>
              <w:t>在法国北部生活的赫维尔，他所工作的工厂被搬迁到了突尼斯的郊区，他是唯一一个自动提出辞职的员工，因为他想成为一名渔民并被这门手艺传授给他的儿子。与此同时，失业的弗埃德正在想办法照顾他生病的母亲，还有引起他喜欢的女孩的注意。赫维尔和弗埃德的人生轨迹莫名其妙地碰上了</w:t>
            </w:r>
            <w:r>
              <w:rPr>
                <w:sz w:val="18"/>
              </w:rPr>
              <w:t>……</w:t>
            </w:r>
          </w:p>
          <w:p>
            <w:pPr>
              <w:pStyle w:val="7"/>
              <w:spacing w:before="13" w:line="362" w:lineRule="auto"/>
              <w:ind w:left="106" w:right="168"/>
              <w:rPr>
                <w:sz w:val="18"/>
              </w:rPr>
            </w:pPr>
            <w:r>
              <w:rPr>
                <w:sz w:val="18"/>
              </w:rPr>
              <w:t>Nord de la France. L'usine d'Hervé est délocalisée. Il est le seul ouvrier à s'y résigner car il poursuit un autre destin : devenir pêcheur et transmettre cette passion à son fils. Banlieue de Tunis. L'usine est relocalisée. Foued, au chômage, pense y trouver le moyen de soigner sa mère, et surtout de séduire la fille qu'il aime. Les trajectoires de Hervé et Foued se ressemblent et se répondent.</w:t>
            </w:r>
          </w:p>
        </w:tc>
        <w:tc>
          <w:tcPr>
            <w:tcW w:w="2030" w:type="dxa"/>
          </w:tcPr>
          <w:p>
            <w:pPr>
              <w:pStyle w:val="7"/>
              <w:spacing w:before="6"/>
              <w:ind w:left="0"/>
              <w:rPr>
                <w:sz w:val="10"/>
              </w:rPr>
            </w:pPr>
          </w:p>
          <w:p>
            <w:pPr>
              <w:pStyle w:val="7"/>
              <w:spacing w:before="0"/>
              <w:ind w:left="136"/>
              <w:rPr>
                <w:sz w:val="20"/>
              </w:rPr>
            </w:pPr>
            <w:r>
              <w:rPr>
                <w:sz w:val="20"/>
              </w:rPr>
              <w:drawing>
                <wp:inline distT="0" distB="0" distL="0" distR="0">
                  <wp:extent cx="1061085" cy="143256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8" cstate="print"/>
                          <a:stretch>
                            <a:fillRect/>
                          </a:stretch>
                        </pic:blipFill>
                        <pic:spPr>
                          <a:xfrm>
                            <a:off x="0" y="0"/>
                            <a:ext cx="1061639" cy="1432560"/>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8" w:hRule="atLeast"/>
        </w:trPr>
        <w:tc>
          <w:tcPr>
            <w:tcW w:w="1702" w:type="dxa"/>
          </w:tcPr>
          <w:p>
            <w:pPr>
              <w:pStyle w:val="7"/>
              <w:rPr>
                <w:rFonts w:hint="eastAsia" w:ascii="宋体" w:eastAsia="宋体"/>
                <w:sz w:val="18"/>
              </w:rPr>
            </w:pPr>
            <w:r>
              <w:rPr>
                <w:rFonts w:hint="eastAsia" w:ascii="宋体" w:eastAsia="宋体"/>
                <w:sz w:val="18"/>
              </w:rPr>
              <w:t>瓦里</w:t>
            </w:r>
          </w:p>
          <w:p>
            <w:pPr>
              <w:pStyle w:val="7"/>
              <w:spacing w:before="93"/>
              <w:rPr>
                <w:sz w:val="18"/>
              </w:rPr>
            </w:pPr>
            <w:r>
              <w:rPr>
                <w:sz w:val="18"/>
              </w:rPr>
              <w:t>Wallay</w:t>
            </w:r>
          </w:p>
        </w:tc>
        <w:tc>
          <w:tcPr>
            <w:tcW w:w="1133" w:type="dxa"/>
          </w:tcPr>
          <w:p>
            <w:pPr>
              <w:pStyle w:val="7"/>
              <w:spacing w:line="328" w:lineRule="auto"/>
              <w:ind w:right="113"/>
              <w:rPr>
                <w:sz w:val="18"/>
              </w:rPr>
            </w:pPr>
            <w:r>
              <w:rPr>
                <w:rFonts w:hint="eastAsia" w:ascii="宋体" w:eastAsia="宋体"/>
                <w:sz w:val="18"/>
              </w:rPr>
              <w:t xml:space="preserve">法国、布基纳法索、卡塔 尔 </w:t>
            </w:r>
            <w:r>
              <w:rPr>
                <w:sz w:val="18"/>
              </w:rPr>
              <w:t>France,</w:t>
            </w:r>
          </w:p>
          <w:p>
            <w:pPr>
              <w:pStyle w:val="7"/>
              <w:spacing w:before="28" w:line="362" w:lineRule="auto"/>
              <w:ind w:right="416"/>
              <w:rPr>
                <w:sz w:val="18"/>
              </w:rPr>
            </w:pPr>
            <w:r>
              <w:rPr>
                <w:sz w:val="18"/>
              </w:rPr>
              <w:t>Burkina Faso, Qatar</w:t>
            </w:r>
          </w:p>
        </w:tc>
        <w:tc>
          <w:tcPr>
            <w:tcW w:w="10728" w:type="dxa"/>
          </w:tcPr>
          <w:p>
            <w:pPr>
              <w:pStyle w:val="7"/>
              <w:spacing w:line="324" w:lineRule="auto"/>
              <w:ind w:right="168"/>
              <w:rPr>
                <w:rFonts w:hint="eastAsia" w:ascii="宋体" w:hAnsi="宋体" w:eastAsia="宋体"/>
                <w:sz w:val="18"/>
              </w:rPr>
            </w:pPr>
            <w:r>
              <w:rPr>
                <w:rFonts w:hint="eastAsia" w:ascii="宋体" w:hAnsi="宋体" w:eastAsia="宋体"/>
                <w:sz w:val="18"/>
              </w:rPr>
              <w:t>阿迪已经</w:t>
            </w:r>
            <w:r>
              <w:rPr>
                <w:sz w:val="18"/>
              </w:rPr>
              <w:t>13</w:t>
            </w:r>
            <w:r>
              <w:rPr>
                <w:rFonts w:hint="eastAsia" w:ascii="宋体" w:hAnsi="宋体" w:eastAsia="宋体"/>
                <w:sz w:val="18"/>
              </w:rPr>
              <w:t>岁了，进入了背叛期，不再听他父亲的话。他的父亲决定把他托付给他的叔叔阿玛杜过一个暑假。可是叔叔阿玛杜住在地中海的另一头</w:t>
            </w:r>
            <w:r>
              <w:rPr>
                <w:sz w:val="18"/>
              </w:rPr>
              <w:t>……</w:t>
            </w:r>
            <w:r>
              <w:rPr>
                <w:rFonts w:hint="eastAsia" w:ascii="宋体" w:hAnsi="宋体" w:eastAsia="宋体"/>
                <w:sz w:val="18"/>
              </w:rPr>
              <w:t>在布基纳法索！在那边，</w:t>
            </w:r>
            <w:r>
              <w:rPr>
                <w:sz w:val="18"/>
              </w:rPr>
              <w:t>13</w:t>
            </w:r>
            <w:r>
              <w:rPr>
                <w:rFonts w:hint="eastAsia" w:ascii="宋体" w:hAnsi="宋体" w:eastAsia="宋体"/>
                <w:sz w:val="18"/>
              </w:rPr>
              <w:t>岁就算是已经成年了，阿迪还懵懵懂懂地以为自己是要去度假！</w:t>
            </w:r>
          </w:p>
          <w:p>
            <w:pPr>
              <w:pStyle w:val="7"/>
              <w:spacing w:before="13" w:line="362" w:lineRule="auto"/>
              <w:ind w:right="179"/>
              <w:rPr>
                <w:sz w:val="18"/>
              </w:rPr>
            </w:pPr>
            <w:r>
              <w:rPr>
                <w:sz w:val="18"/>
              </w:rPr>
              <w:t>Ady a 13 ans et n’écoute plus son père qui l’élève seul. Ce dernier, à bout de ressources, décide de confier Ady à son oncle Amadou le temps d’un été. L’oncle Amadou et sa famille habitent de l’autre côté de la Méditerranée… au Burkina Faso! Là-bas, à 13 ans, on se doit de devenir un homme mais Ady, persuadé de partir en vacances, ne l’entend pas de cette oreille…</w:t>
            </w:r>
          </w:p>
        </w:tc>
        <w:tc>
          <w:tcPr>
            <w:tcW w:w="2030" w:type="dxa"/>
          </w:tcPr>
          <w:p>
            <w:pPr>
              <w:pStyle w:val="7"/>
              <w:spacing w:before="2"/>
              <w:ind w:left="0"/>
              <w:rPr>
                <w:sz w:val="11"/>
              </w:rPr>
            </w:pPr>
          </w:p>
          <w:p>
            <w:pPr>
              <w:pStyle w:val="7"/>
              <w:spacing w:before="0"/>
              <w:ind w:left="136"/>
              <w:rPr>
                <w:sz w:val="20"/>
              </w:rPr>
            </w:pPr>
            <w:r>
              <w:rPr>
                <w:sz w:val="20"/>
              </w:rPr>
              <w:drawing>
                <wp:inline distT="0" distB="0" distL="0" distR="0">
                  <wp:extent cx="1056005" cy="1421130"/>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9" cstate="print"/>
                          <a:stretch>
                            <a:fillRect/>
                          </a:stretch>
                        </pic:blipFill>
                        <pic:spPr>
                          <a:xfrm>
                            <a:off x="0" y="0"/>
                            <a:ext cx="1056313" cy="1421511"/>
                          </a:xfrm>
                          <a:prstGeom prst="rect">
                            <a:avLst/>
                          </a:prstGeom>
                        </pic:spPr>
                      </pic:pic>
                    </a:graphicData>
                  </a:graphic>
                </wp:inline>
              </w:drawing>
            </w:r>
          </w:p>
        </w:tc>
      </w:tr>
    </w:tbl>
    <w:p/>
    <w:sectPr>
      <w:pgSz w:w="16840" w:h="11910" w:orient="landscape"/>
      <w:pgMar w:top="1100" w:right="400" w:bottom="280" w:left="6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AE41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fr-FR" w:eastAsia="fr-FR" w:bidi="fr-FR"/>
    </w:rPr>
  </w:style>
  <w:style w:type="character" w:default="1" w:styleId="4">
    <w:name w:val="Default Paragraph Font"/>
    <w:semiHidden/>
    <w:unhideWhenUsed/>
    <w:uiPriority w:val="1"/>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Calibri" w:hAnsi="Calibri" w:eastAsia="Calibri" w:cs="Calibri"/>
      <w:sz w:val="24"/>
      <w:szCs w:val="24"/>
      <w:lang w:val="fr-FR" w:eastAsia="fr-FR" w:bidi="fr-FR"/>
    </w:rPr>
  </w:style>
  <w:style w:type="table" w:customStyle="1" w:styleId="5">
    <w:name w:val="Table Normal"/>
    <w:semiHidden/>
    <w:unhideWhenUsed/>
    <w:qFormat/>
    <w:uiPriority w:val="2"/>
    <w:tblPr>
      <w:tblLayout w:type="fixed"/>
      <w:tblCellMar>
        <w:top w:w="0" w:type="dxa"/>
        <w:left w:w="0" w:type="dxa"/>
        <w:bottom w:w="0" w:type="dxa"/>
        <w:right w:w="0" w:type="dxa"/>
      </w:tblCellMar>
    </w:tblPr>
  </w:style>
  <w:style w:type="paragraph" w:styleId="6">
    <w:name w:val="List Paragraph"/>
    <w:basedOn w:val="1"/>
    <w:qFormat/>
    <w:uiPriority w:val="1"/>
    <w:rPr>
      <w:lang w:val="fr-FR" w:eastAsia="fr-FR" w:bidi="fr-FR"/>
    </w:rPr>
  </w:style>
  <w:style w:type="paragraph" w:customStyle="1" w:styleId="7">
    <w:name w:val="Table Paragraph"/>
    <w:basedOn w:val="1"/>
    <w:qFormat/>
    <w:uiPriority w:val="1"/>
    <w:pPr>
      <w:spacing w:before="38"/>
      <w:ind w:left="107"/>
    </w:pPr>
    <w:rPr>
      <w:rFonts w:ascii="Times New Roman" w:hAnsi="Times New Roman" w:eastAsia="Times New Roman" w:cs="Times New Roman"/>
      <w:lang w:val="fr-FR" w:eastAsia="fr-FR" w:bidi="fr-F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2019-03-07T02:37:00Z</dcterms:created>
  <dc:creator>李泽君</dc:creator>
  <cp:lastModifiedBy>蘑菇小姐</cp:lastModifiedBy>
  <dcterms:modified xsi:type="dcterms:W3CDTF">2019-03-07T02:37:51Z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Acrobat PDFMaker 10.1 Word 版</vt:lpwstr>
  </property>
  <property fmtid="{D5CDD505-2E9C-101B-9397-08002B2CF9AE}" pid="4" name="LastSaved">
    <vt:filetime>2019-03-07T00:00:00Z</vt:filetime>
  </property>
  <property fmtid="{D5CDD505-2E9C-101B-9397-08002B2CF9AE}" pid="5" name="KSOProductBuildVer">
    <vt:lpwstr>2052-11.1.0.8515</vt:lpwstr>
  </property>
</Properties>
</file>