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47"/>
      </w:tblGrid>
      <w:tr w:rsidR="00C13F1C" w:rsidTr="00C13F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C13F1C">
              <w:trPr>
                <w:tblCellSpacing w:w="0" w:type="dxa"/>
              </w:trPr>
              <w:tc>
                <w:tcPr>
                  <w:tcW w:w="0" w:type="auto"/>
                  <w:tcMar>
                    <w:top w:w="420" w:type="dxa"/>
                    <w:left w:w="420" w:type="dxa"/>
                    <w:bottom w:w="420" w:type="dxa"/>
                    <w:right w:w="4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73"/>
                    <w:gridCol w:w="1987"/>
                  </w:tblGrid>
                  <w:tr w:rsidR="00C13F1C">
                    <w:trPr>
                      <w:tblCellSpacing w:w="0" w:type="dxa"/>
                    </w:trPr>
                    <w:tc>
                      <w:tcPr>
                        <w:tcW w:w="3782" w:type="pct"/>
                        <w:tcMar>
                          <w:top w:w="0" w:type="dxa"/>
                          <w:left w:w="0" w:type="dxa"/>
                          <w:bottom w:w="0" w:type="dxa"/>
                          <w:right w:w="113" w:type="dxa"/>
                        </w:tcMar>
                        <w:hideMark/>
                      </w:tcPr>
                      <w:p w:rsidR="00C13F1C" w:rsidRDefault="00C13F1C">
                        <w:pPr>
                          <w:spacing w:before="100" w:beforeAutospacing="1" w:after="100" w:afterAutospacing="1"/>
                        </w:pPr>
                        <w:r>
                          <w:rPr>
                            <w:noProof/>
                            <w:color w:val="1F497D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819525" cy="2105025"/>
                              <wp:effectExtent l="19050" t="0" r="9525" b="0"/>
                              <wp:docPr id="44" name="Picture 4" descr="cid:B55EDE50@DD292B36.6C48905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B55EDE50@DD292B36.6C48905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9525" cy="2105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3F1C" w:rsidRDefault="00C13F1C">
                        <w:pPr>
                          <w:pStyle w:val="ListParagraph"/>
                          <w:spacing w:before="41" w:beforeAutospacing="0" w:after="0" w:afterAutospacing="0"/>
                        </w:pPr>
                        <w:r>
                          <w:rPr>
                            <w:b/>
                            <w:bCs/>
                            <w:color w:val="E36C0A"/>
                            <w:lang w:val="en-GB"/>
                          </w:rPr>
                          <w:br/>
                        </w:r>
                        <w:r>
                          <w:rPr>
                            <w:rFonts w:ascii="宋体" w:eastAsia="宋体" w:hAnsi="宋体" w:hint="eastAsia"/>
                            <w:b/>
                            <w:bCs/>
                            <w:color w:val="E36C0A"/>
                          </w:rPr>
                          <w:t>“我的未来，我做主”</w:t>
                        </w:r>
                        <w:r>
                          <w:rPr>
                            <w:rFonts w:hint="eastAsia"/>
                            <w:b/>
                            <w:bCs/>
                            <w:color w:val="E36C0A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hint="eastAsia"/>
                            <w:b/>
                            <w:bCs/>
                            <w:color w:val="E36C0A"/>
                          </w:rPr>
                          <w:t>创意大赛</w:t>
                        </w:r>
                        <w:r>
                          <w:rPr>
                            <w:b/>
                            <w:bCs/>
                            <w:color w:val="E36C0A"/>
                            <w:lang w:val="en-GB"/>
                          </w:rPr>
                          <w:br/>
                        </w:r>
                        <w:r>
                          <w:rPr>
                            <w:b/>
                            <w:bCs/>
                            <w:color w:val="E36C0A"/>
                            <w:lang w:val="en-GB"/>
                          </w:rPr>
                          <w:br/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毕马威中国将于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2013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5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月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1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日至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6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月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30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日举办“我的未来，我做主”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创意大赛。所有全日制在校大学生均可登录</w:t>
                        </w:r>
                        <w:hyperlink r:id="rId8" w:history="1">
                          <w:r>
                            <w:rPr>
                              <w:rStyle w:val="Hyperlink"/>
                              <w:b/>
                              <w:bCs/>
                              <w:sz w:val="20"/>
                              <w:szCs w:val="20"/>
                            </w:rPr>
                            <w:t>vcf.kpmg.com.cn</w:t>
                          </w:r>
                        </w:hyperlink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报名参加，赢取多项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Apple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系列产品。优秀参赛者还将有机会获得毕马威实习机会！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13F1C" w:rsidRDefault="00C13F1C">
                        <w:pPr>
                          <w:pStyle w:val="ListParagraph"/>
                          <w:spacing w:before="41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参赛者以个人或组队方式参与视频、音乐、平面组别的比赛。通过拍摄一个故事、改编或原创一首歌曲、设计或拍摄一份平面作品的方式，表现“我眼中的毕马威”活动主题。参赛者需在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2013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5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月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31</w:t>
                        </w:r>
                        <w:r>
                          <w:rPr>
                            <w:rFonts w:ascii="宋体" w:eastAsia="宋体" w:hAnsi="宋体" w:hint="eastAsia"/>
                            <w:sz w:val="20"/>
                            <w:szCs w:val="20"/>
                          </w:rPr>
                          <w:t>日之前完成报名并提交参赛作品（视频、歌曲、图片等）。通过初选后，优秀入围参赛作品将上线接受网络票选，结合组委会的评审，最终评选出获奖作品。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13F1C" w:rsidRDefault="00C13F1C">
                        <w:pPr>
                          <w:pStyle w:val="ListParagraph"/>
                          <w:spacing w:before="41" w:beforeAutospacing="0" w:after="0" w:afterAutospacing="0" w:line="326" w:lineRule="atLeast"/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Fonts w:ascii="宋体" w:eastAsia="宋体" w:hAnsi="宋体" w:hint="eastAsia"/>
                            <w:b/>
                            <w:bCs/>
                            <w:color w:val="000000"/>
                          </w:rPr>
                          <w:t>大赛流程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59"/>
                        </w:tblGrid>
                        <w:tr w:rsidR="00C13F1C">
                          <w:tc>
                            <w:tcPr>
                              <w:tcW w:w="6135" w:type="dxa"/>
                              <w:tcBorders>
                                <w:top w:val="dotted" w:sz="8" w:space="0" w:color="auto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13F1C" w:rsidRDefault="00C13F1C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20"/>
                                  <w:szCs w:val="20"/>
                                  <w:lang w:val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13F1C" w:rsidRDefault="00C13F1C">
                        <w:pPr>
                          <w:spacing w:before="100" w:beforeAutospacing="1" w:after="100" w:afterAutospacing="1"/>
                        </w:pPr>
                        <w:r>
                          <w:rPr>
                            <w:b/>
                            <w:bCs/>
                            <w:noProof/>
                            <w:color w:val="1F497D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3733800" cy="2419350"/>
                              <wp:effectExtent l="19050" t="0" r="0" b="0"/>
                              <wp:docPr id="45" name="Picture 3" descr="cid:B55E621C@DD292B36.6C48905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B55E621C@DD292B36.6C48905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33800" cy="2419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3F1C" w:rsidRDefault="00C13F1C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宋体" w:eastAsia="宋体" w:hAnsi="宋体" w:hint="eastAsia"/>
                            <w:b/>
                            <w:bCs/>
                          </w:rPr>
                          <w:lastRenderedPageBreak/>
                          <w:t>奖项设置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59"/>
                        </w:tblGrid>
                        <w:tr w:rsidR="00C13F1C">
                          <w:tc>
                            <w:tcPr>
                              <w:tcW w:w="6135" w:type="dxa"/>
                              <w:tcBorders>
                                <w:top w:val="dotted" w:sz="8" w:space="0" w:color="auto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C13F1C" w:rsidRDefault="00C13F1C">
                              <w:pPr>
                                <w:spacing w:before="100" w:beforeAutospacing="1" w:after="100" w:afterAutospacing="1"/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20"/>
                                  <w:szCs w:val="20"/>
                                  <w:lang w:val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13F1C" w:rsidRDefault="00C13F1C">
                        <w:pPr>
                          <w:spacing w:before="100" w:beforeAutospacing="1" w:after="100" w:afterAutospacing="1"/>
                        </w:pPr>
                        <w:r>
                          <w:rPr>
                            <w:noProof/>
                            <w:color w:val="1F497D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714750" cy="1123950"/>
                              <wp:effectExtent l="19050" t="0" r="0" b="0"/>
                              <wp:docPr id="46" name="Picture 1" descr="cid:B75E6523@DD292B36.6C48905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B75E6523@DD292B36.6C48905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0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3F1C" w:rsidRDefault="00C13F1C">
                        <w:pPr>
                          <w:spacing w:before="100" w:beforeAutospacing="1" w:after="100" w:afterAutospacing="1"/>
                        </w:pPr>
                        <w:r>
                          <w:rPr>
                            <w:noProof/>
                            <w:color w:val="1F497D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810000" cy="704850"/>
                              <wp:effectExtent l="19050" t="0" r="0" b="0"/>
                              <wp:docPr id="47" name="Picture 6" descr="cid:B75E2CF0@DD292B36.6C48905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B75E2CF0@DD292B36.6C48905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0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3F1C" w:rsidRDefault="00C13F1C">
                        <w:pPr>
                          <w:pStyle w:val="tintedpanel-bodytext0"/>
                        </w:pPr>
                        <w:r>
                          <w:rPr>
                            <w:color w:val="1F497D"/>
                            <w:sz w:val="22"/>
                            <w:szCs w:val="22"/>
                          </w:rPr>
                          <w:t> </w:t>
                        </w:r>
                      </w:p>
                      <w:p w:rsidR="00C13F1C" w:rsidRDefault="00C13F1C">
                        <w:pPr>
                          <w:spacing w:line="260" w:lineRule="atLeast"/>
                          <w:jc w:val="center"/>
                          <w:rPr>
                            <w:rStyle w:val="body-text"/>
                            <w:sz w:val="18"/>
                            <w:szCs w:val="18"/>
                          </w:rPr>
                        </w:pPr>
                      </w:p>
                      <w:p w:rsidR="00C13F1C" w:rsidRDefault="00C13F1C">
                        <w:pPr>
                          <w:pStyle w:val="tintedpanel-bodytext0"/>
                          <w:spacing w:line="260" w:lineRule="atLeast"/>
                          <w:jc w:val="center"/>
                        </w:pPr>
                        <w:r>
                          <w:rPr>
                            <w:rStyle w:val="body-text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18" w:type="pct"/>
                        <w:hideMark/>
                      </w:tcPr>
                      <w:tbl>
                        <w:tblPr>
                          <w:tblW w:w="0" w:type="auto"/>
                          <w:shd w:val="clear" w:color="auto" w:fill="FFF3C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20"/>
                        </w:tblGrid>
                        <w:tr w:rsidR="00C13F1C">
                          <w:trPr>
                            <w:trHeight w:val="3332"/>
                          </w:trPr>
                          <w:tc>
                            <w:tcPr>
                              <w:tcW w:w="1920" w:type="dxa"/>
                              <w:shd w:val="clear" w:color="auto" w:fill="FFF3CD"/>
                              <w:hideMark/>
                            </w:tcPr>
                            <w:p w:rsidR="00C13F1C" w:rsidRDefault="00C13F1C">
                              <w:pPr>
                                <w:pStyle w:val="tintedpanel-body-text"/>
                                <w:spacing w:line="280" w:lineRule="atLeast"/>
                                <w:jc w:val="center"/>
                              </w:pPr>
                              <w:r>
                                <w:rPr>
                                  <w:noProof/>
                                  <w:color w:val="404040"/>
                                  <w:sz w:val="22"/>
                                  <w:szCs w:val="22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81100" cy="2114550"/>
                                    <wp:effectExtent l="19050" t="0" r="0" b="0"/>
                                    <wp:docPr id="48" name="Picture 5" descr="cid:B95EC890@DD292B36.6C48905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B95EC890@DD292B36.6C48905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r:link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1100" cy="2114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13F1C" w:rsidRDefault="00C13F1C">
                        <w:pPr>
                          <w:rPr>
                            <w:rFonts w:asciiTheme="minorHAnsi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13F1C">
                    <w:trPr>
                      <w:trHeight w:val="80"/>
                      <w:tblCellSpacing w:w="0" w:type="dxa"/>
                    </w:trPr>
                    <w:tc>
                      <w:tcPr>
                        <w:tcW w:w="3782" w:type="pct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hideMark/>
                      </w:tcPr>
                      <w:p w:rsidR="00C13F1C" w:rsidRDefault="00C13F1C">
                        <w:pPr>
                          <w:rPr>
                            <w:rFonts w:asciiTheme="minorHAnsi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18" w:type="pct"/>
                        <w:hideMark/>
                      </w:tcPr>
                      <w:p w:rsidR="00C13F1C" w:rsidRDefault="00C13F1C">
                        <w:pPr>
                          <w:pStyle w:val="tintedpanel-bodytext0"/>
                          <w:spacing w:line="80" w:lineRule="atLeast"/>
                        </w:pPr>
                        <w:r>
                          <w:rPr>
                            <w:rStyle w:val="body-text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C13F1C">
                    <w:trPr>
                      <w:tblCellSpacing w:w="0" w:type="dxa"/>
                    </w:trPr>
                    <w:tc>
                      <w:tcPr>
                        <w:tcW w:w="3782" w:type="pct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hideMark/>
                      </w:tcPr>
                      <w:p w:rsidR="00C13F1C" w:rsidRDefault="00C13F1C" w:rsidP="00C13F1C">
                        <w:pPr>
                          <w:spacing w:before="100" w:beforeAutospacing="1" w:after="100" w:afterAutospacing="1"/>
                        </w:pPr>
                      </w:p>
                    </w:tc>
                    <w:tc>
                      <w:tcPr>
                        <w:tcW w:w="1218" w:type="pct"/>
                        <w:hideMark/>
                      </w:tcPr>
                      <w:p w:rsidR="00C13F1C" w:rsidRDefault="00C13F1C">
                        <w:pPr>
                          <w:pStyle w:val="tintedpanel-bodytext0"/>
                          <w:spacing w:line="260" w:lineRule="atLeast"/>
                        </w:pPr>
                        <w:r>
                          <w:rPr>
                            <w:rStyle w:val="body-text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C13F1C" w:rsidRDefault="00C13F1C">
                  <w:pPr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C13F1C" w:rsidRDefault="00C13F1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572178" w:rsidRPr="000B352E" w:rsidRDefault="00572178">
      <w:pPr>
        <w:rPr>
          <w:rFonts w:ascii="Arial" w:hAnsi="Arial" w:cs="Arial"/>
        </w:rPr>
      </w:pPr>
    </w:p>
    <w:sectPr w:rsidR="00572178" w:rsidRPr="000B352E" w:rsidSect="009B5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FC" w:rsidRDefault="00BE19FC" w:rsidP="000B352E">
      <w:r>
        <w:separator/>
      </w:r>
    </w:p>
  </w:endnote>
  <w:endnote w:type="continuationSeparator" w:id="0">
    <w:p w:rsidR="00BE19FC" w:rsidRDefault="00BE19FC" w:rsidP="000B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FC" w:rsidRDefault="00BE19FC" w:rsidP="000B352E">
      <w:r>
        <w:separator/>
      </w:r>
    </w:p>
  </w:footnote>
  <w:footnote w:type="continuationSeparator" w:id="0">
    <w:p w:rsidR="00BE19FC" w:rsidRDefault="00BE19FC" w:rsidP="000B3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9FC"/>
    <w:rsid w:val="000B352E"/>
    <w:rsid w:val="004841EA"/>
    <w:rsid w:val="004C2496"/>
    <w:rsid w:val="00572178"/>
    <w:rsid w:val="006D6757"/>
    <w:rsid w:val="008C0425"/>
    <w:rsid w:val="009B5A62"/>
    <w:rsid w:val="00BE19FC"/>
    <w:rsid w:val="00C1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52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352E"/>
  </w:style>
  <w:style w:type="paragraph" w:styleId="Footer">
    <w:name w:val="footer"/>
    <w:basedOn w:val="Normal"/>
    <w:link w:val="FooterChar"/>
    <w:uiPriority w:val="99"/>
    <w:semiHidden/>
    <w:unhideWhenUsed/>
    <w:rsid w:val="000B352E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352E"/>
  </w:style>
  <w:style w:type="character" w:styleId="Hyperlink">
    <w:name w:val="Hyperlink"/>
    <w:basedOn w:val="DefaultParagraphFont"/>
    <w:uiPriority w:val="99"/>
    <w:semiHidden/>
    <w:unhideWhenUsed/>
    <w:rsid w:val="00C13F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F1C"/>
    <w:pPr>
      <w:spacing w:before="100" w:beforeAutospacing="1" w:after="100" w:afterAutospacing="1"/>
    </w:pPr>
  </w:style>
  <w:style w:type="paragraph" w:customStyle="1" w:styleId="tintedpanel-bodytext0">
    <w:name w:val="tintedpanel-bodytext0"/>
    <w:basedOn w:val="Normal"/>
    <w:rsid w:val="00C13F1C"/>
    <w:pPr>
      <w:spacing w:before="100" w:beforeAutospacing="1" w:after="100" w:afterAutospacing="1"/>
    </w:pPr>
  </w:style>
  <w:style w:type="paragraph" w:customStyle="1" w:styleId="tintedpanel-body-text">
    <w:name w:val="tintedpanel-body-text"/>
    <w:basedOn w:val="Normal"/>
    <w:rsid w:val="00C13F1C"/>
    <w:pPr>
      <w:spacing w:before="100" w:beforeAutospacing="1" w:after="100" w:afterAutospacing="1"/>
    </w:pPr>
  </w:style>
  <w:style w:type="paragraph" w:customStyle="1" w:styleId="privacydisclaimer">
    <w:name w:val="privacydisclaimer"/>
    <w:basedOn w:val="Normal"/>
    <w:rsid w:val="00C13F1C"/>
    <w:pPr>
      <w:spacing w:before="100" w:beforeAutospacing="1" w:after="100" w:afterAutospacing="1"/>
    </w:pPr>
  </w:style>
  <w:style w:type="character" w:customStyle="1" w:styleId="body-text">
    <w:name w:val="body-text"/>
    <w:basedOn w:val="DefaultParagraphFont"/>
    <w:rsid w:val="00C13F1C"/>
  </w:style>
  <w:style w:type="character" w:customStyle="1" w:styleId="copyrightstatement0">
    <w:name w:val="copyrightstatement0"/>
    <w:basedOn w:val="DefaultParagraphFont"/>
    <w:rsid w:val="00C13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f.kpmg.com.cn/" TargetMode="Externa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B55EDE50@DD292B36.6C489051.jpg" TargetMode="External"/><Relationship Id="rId12" Type="http://schemas.openxmlformats.org/officeDocument/2006/relationships/image" Target="cid:B75E6523@DD292B36.6C489051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B95EC890@DD292B36.6C489051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cid:B55E621C@DD292B36.6C489051.g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image" Target="cid:B75E2CF0@DD292B36.6C48905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>KPMG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gfang1</dc:creator>
  <cp:lastModifiedBy>gfang1</cp:lastModifiedBy>
  <cp:revision>1</cp:revision>
  <dcterms:created xsi:type="dcterms:W3CDTF">2013-05-13T01:58:00Z</dcterms:created>
  <dcterms:modified xsi:type="dcterms:W3CDTF">2013-05-13T02:00:00Z</dcterms:modified>
</cp:coreProperties>
</file>